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SOLICITUD DE LA APLICACIÓN DEL TIPO REDUCIDO PARA LAS RETENCIONES EN LOS PRIMEROS EJERCICIOS DE LA ACTIVIDAD PROFESIONAL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NORMATIVA: Real Decreto 439/2007, de 30 de marzo, por el que se aprueba el Reglamento del Impuesto sobre la Renta de las Personas Físicas y se modifica el Reglamento de Planes y Fondos de Pensiones, aprobado por Real Decreto 304/2004, de 20 de febrero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PLAZO: Desde inicio de la actividad hasta los 2 ejercicios siguientes.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D. _______________ mayor de edad, número de DNI ____________, y domicilio en _____, en la calle ________, por la presente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Manifiesta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artículo 95.1 del Reglamento del Impuesto sobre la Renta de las Personas Físicas "(… ) No obstante lo dispuesto en el párrafo anterior, en el caso de contribuyentes que inicien el ejercicio de actividades profesionales, el tipo de retención será del 7 por ciento en el período impositivo de inicio de actividades y en los dos siguientes, siempre y cuando no hubieran ejercido actividad profesional alguna en el año anterior a la fecha de inicio de las actividades.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la aplicación del tipo de retención previsto en el párrafo anterior, los contribuyentes deberán comunicar al pagador de los rendimientos la concurrencia de dicha circunstancia, quedando obligado el pagador a conservar la comunicación debidamente firmada (…)”.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tanto, dado que me di de alta en el Impuesto de Actividades Económicas el pasado ___ de ___ de ____, iniciando mi actividad profesional, comunico mediante este escrito, la aplicación del porcentaje de retención del 7% sobre mis rendimientos profesionales para los años ___, ___ y ____.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Fdo.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